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B124" w14:textId="61BC017F" w:rsidR="004A7601" w:rsidRPr="004A7601" w:rsidRDefault="00AA2DFA" w:rsidP="00D3095F">
      <w:pPr>
        <w:spacing w:before="240" w:after="240"/>
        <w:jc w:val="center"/>
        <w:rPr>
          <w:rFonts w:ascii="黑体" w:eastAsia="黑体" w:hAnsi="黑体"/>
          <w:b/>
          <w:bCs/>
          <w:sz w:val="36"/>
          <w:szCs w:val="40"/>
        </w:rPr>
      </w:pPr>
      <w:r>
        <w:rPr>
          <w:rFonts w:ascii="黑体" w:eastAsia="黑体" w:hAnsi="黑体" w:hint="eastAsia"/>
          <w:b/>
          <w:bCs/>
          <w:sz w:val="36"/>
          <w:szCs w:val="40"/>
        </w:rPr>
        <w:t>2</w:t>
      </w:r>
      <w:r>
        <w:rPr>
          <w:rFonts w:ascii="黑体" w:eastAsia="黑体" w:hAnsi="黑体"/>
          <w:b/>
          <w:bCs/>
          <w:sz w:val="36"/>
          <w:szCs w:val="40"/>
        </w:rPr>
        <w:t>019</w:t>
      </w:r>
      <w:r>
        <w:rPr>
          <w:rFonts w:ascii="黑体" w:eastAsia="黑体" w:hAnsi="黑体" w:hint="eastAsia"/>
          <w:b/>
          <w:bCs/>
          <w:sz w:val="36"/>
          <w:szCs w:val="40"/>
        </w:rPr>
        <w:t>年</w:t>
      </w:r>
      <w:r w:rsidR="004A7601" w:rsidRPr="004A7601">
        <w:rPr>
          <w:rFonts w:ascii="黑体" w:eastAsia="黑体" w:hAnsi="黑体" w:hint="eastAsia"/>
          <w:b/>
          <w:bCs/>
          <w:sz w:val="36"/>
          <w:szCs w:val="40"/>
        </w:rPr>
        <w:t>“强军思想与中国梦”高峰论坛征文启事</w:t>
      </w:r>
    </w:p>
    <w:p w14:paraId="2C0E968F" w14:textId="77777777" w:rsidR="00D3095F"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2019年是中华人民共和国成立70周年。为深入研究和总结中国共产党领导全国各族人民取得的伟大成就和历史经验，进一步推动马克思主义理论特别是马克思主义军事指导理论的创新发展，由国防科技大学文理学院和《毛泽东邓小平理论研究》编辑部共同发起的第一届“强军思想与中国梦”高峰论坛</w:t>
      </w:r>
      <w:r w:rsidR="00F018B8">
        <w:rPr>
          <w:rFonts w:ascii="华文仿宋" w:eastAsia="华文仿宋" w:hAnsi="华文仿宋" w:hint="eastAsia"/>
          <w:sz w:val="28"/>
          <w:szCs w:val="32"/>
        </w:rPr>
        <w:t>，</w:t>
      </w:r>
      <w:r w:rsidRPr="004A7601">
        <w:rPr>
          <w:rFonts w:ascii="华文仿宋" w:eastAsia="华文仿宋" w:hAnsi="华文仿宋" w:hint="eastAsia"/>
          <w:sz w:val="28"/>
          <w:szCs w:val="32"/>
        </w:rPr>
        <w:t>拟于2019年</w:t>
      </w:r>
      <w:r>
        <w:rPr>
          <w:rFonts w:ascii="华文仿宋" w:eastAsia="华文仿宋" w:hAnsi="华文仿宋"/>
          <w:sz w:val="28"/>
          <w:szCs w:val="32"/>
        </w:rPr>
        <w:t>8</w:t>
      </w:r>
      <w:r w:rsidRPr="004A7601">
        <w:rPr>
          <w:rFonts w:ascii="华文仿宋" w:eastAsia="华文仿宋" w:hAnsi="华文仿宋" w:hint="eastAsia"/>
          <w:sz w:val="28"/>
          <w:szCs w:val="32"/>
        </w:rPr>
        <w:t>月</w:t>
      </w:r>
      <w:r w:rsidR="00D127AC">
        <w:rPr>
          <w:rFonts w:ascii="华文仿宋" w:eastAsia="华文仿宋" w:hAnsi="华文仿宋" w:hint="eastAsia"/>
          <w:sz w:val="28"/>
          <w:szCs w:val="32"/>
        </w:rPr>
        <w:t>31</w:t>
      </w:r>
      <w:r>
        <w:rPr>
          <w:rFonts w:ascii="华文仿宋" w:eastAsia="华文仿宋" w:hAnsi="华文仿宋" w:hint="eastAsia"/>
          <w:sz w:val="28"/>
          <w:szCs w:val="32"/>
        </w:rPr>
        <w:t>日</w:t>
      </w:r>
      <w:r w:rsidRPr="004A7601">
        <w:rPr>
          <w:rFonts w:ascii="华文仿宋" w:eastAsia="华文仿宋" w:hAnsi="华文仿宋" w:hint="eastAsia"/>
          <w:sz w:val="28"/>
          <w:szCs w:val="32"/>
        </w:rPr>
        <w:t>在国防科技大学召开。论坛以文参会，现诚邀全国科研机构、高等院校等单位的教学和研究人员积极投稿。</w:t>
      </w:r>
    </w:p>
    <w:p w14:paraId="46B2B5AE"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本次研讨会将围绕会议主题，重点研讨以下内容：</w:t>
      </w:r>
    </w:p>
    <w:p w14:paraId="50F0A3DC"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1.中华民族伟大复兴中国梦的历史进程与基本经验</w:t>
      </w:r>
    </w:p>
    <w:p w14:paraId="3ACB0BFC"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2.新中国成立以来经济、政治、文化、社会、生态建设发展成就与经验</w:t>
      </w:r>
    </w:p>
    <w:p w14:paraId="1A978CF4"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3.新中国成立以来国防和军队建设发展成就与经验</w:t>
      </w:r>
    </w:p>
    <w:p w14:paraId="43072E47"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4.习近平新时代中国特色社会主义思想</w:t>
      </w:r>
    </w:p>
    <w:p w14:paraId="05873822"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5.习</w:t>
      </w:r>
      <w:proofErr w:type="gramStart"/>
      <w:r w:rsidRPr="004A7601">
        <w:rPr>
          <w:rFonts w:ascii="华文仿宋" w:eastAsia="华文仿宋" w:hAnsi="华文仿宋" w:hint="eastAsia"/>
          <w:sz w:val="28"/>
          <w:szCs w:val="32"/>
        </w:rPr>
        <w:t>近平强军</w:t>
      </w:r>
      <w:proofErr w:type="gramEnd"/>
      <w:r w:rsidRPr="004A7601">
        <w:rPr>
          <w:rFonts w:ascii="华文仿宋" w:eastAsia="华文仿宋" w:hAnsi="华文仿宋" w:hint="eastAsia"/>
          <w:sz w:val="28"/>
          <w:szCs w:val="32"/>
        </w:rPr>
        <w:t>思想</w:t>
      </w:r>
    </w:p>
    <w:p w14:paraId="2F8117C4"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6.政治建军、改革强军、科技兴军、依法治军</w:t>
      </w:r>
    </w:p>
    <w:p w14:paraId="06798283"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7.新时代强</w:t>
      </w:r>
      <w:proofErr w:type="gramStart"/>
      <w:r w:rsidRPr="004A7601">
        <w:rPr>
          <w:rFonts w:ascii="华文仿宋" w:eastAsia="华文仿宋" w:hAnsi="华文仿宋" w:hint="eastAsia"/>
          <w:sz w:val="28"/>
          <w:szCs w:val="32"/>
        </w:rPr>
        <w:t>军文化</w:t>
      </w:r>
      <w:proofErr w:type="gramEnd"/>
      <w:r w:rsidRPr="004A7601">
        <w:rPr>
          <w:rFonts w:ascii="华文仿宋" w:eastAsia="华文仿宋" w:hAnsi="华文仿宋" w:hint="eastAsia"/>
          <w:sz w:val="28"/>
          <w:szCs w:val="32"/>
        </w:rPr>
        <w:t>建设</w:t>
      </w:r>
    </w:p>
    <w:p w14:paraId="7E9099ED"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8.新时代军队党的建设</w:t>
      </w:r>
    </w:p>
    <w:p w14:paraId="0C6E1E19"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9.军民融合发展与构建一体化的国家战略体系和能力</w:t>
      </w:r>
    </w:p>
    <w:p w14:paraId="77856871"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10.</w:t>
      </w:r>
      <w:proofErr w:type="gramStart"/>
      <w:r w:rsidRPr="004A7601">
        <w:rPr>
          <w:rFonts w:ascii="华文仿宋" w:eastAsia="华文仿宋" w:hAnsi="华文仿宋" w:hint="eastAsia"/>
          <w:sz w:val="28"/>
          <w:szCs w:val="32"/>
        </w:rPr>
        <w:t>强军梦与</w:t>
      </w:r>
      <w:proofErr w:type="gramEnd"/>
      <w:r w:rsidRPr="004A7601">
        <w:rPr>
          <w:rFonts w:ascii="华文仿宋" w:eastAsia="华文仿宋" w:hAnsi="华文仿宋" w:hint="eastAsia"/>
          <w:sz w:val="28"/>
          <w:szCs w:val="32"/>
        </w:rPr>
        <w:t>中国梦的内在逻辑</w:t>
      </w:r>
    </w:p>
    <w:p w14:paraId="54049C34" w14:textId="77777777" w:rsidR="004A7601" w:rsidRPr="004A7601" w:rsidRDefault="004A7601" w:rsidP="00D3095F">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上述选题仅供参考，与会议主题相关内容均欢迎投稿。所投稿件</w:t>
      </w:r>
      <w:r w:rsidRPr="004A7601">
        <w:rPr>
          <w:rFonts w:ascii="华文仿宋" w:eastAsia="华文仿宋" w:hAnsi="华文仿宋" w:hint="eastAsia"/>
          <w:sz w:val="28"/>
          <w:szCs w:val="32"/>
        </w:rPr>
        <w:lastRenderedPageBreak/>
        <w:t>应为未公开发表的原创性研究成果，无政治保密问题，忌一稿多投、抄袭等学术不端行为，8000—12000字为宜，行文格式规范参见《毛泽东邓小平理论研究》。文末请附作者简介、工作单位、职称职务、联系电话、电子邮箱等个人信息。</w:t>
      </w:r>
    </w:p>
    <w:p w14:paraId="6C51FDF6" w14:textId="2C3C072C" w:rsidR="004A7601" w:rsidRPr="004A7601" w:rsidRDefault="004A7601" w:rsidP="004A7601">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入选论文将择优刊发在《毛泽东邓小平理论研究》杂志，并编入《强军思想和中国梦》系列丛书正式出版。</w:t>
      </w:r>
    </w:p>
    <w:p w14:paraId="2088ADB2" w14:textId="77777777" w:rsidR="004A7601" w:rsidRPr="004A7601" w:rsidRDefault="004A7601" w:rsidP="004A7601">
      <w:pPr>
        <w:ind w:firstLineChars="200" w:firstLine="560"/>
        <w:rPr>
          <w:rFonts w:ascii="华文仿宋" w:eastAsia="华文仿宋" w:hAnsi="华文仿宋"/>
          <w:sz w:val="28"/>
          <w:szCs w:val="32"/>
        </w:rPr>
      </w:pPr>
      <w:r w:rsidRPr="004A7601">
        <w:rPr>
          <w:rFonts w:ascii="华文仿宋" w:eastAsia="华文仿宋" w:hAnsi="华文仿宋" w:hint="eastAsia"/>
          <w:sz w:val="28"/>
          <w:szCs w:val="32"/>
        </w:rPr>
        <w:t>会议不收取会务费，差旅和住宿费用自理。</w:t>
      </w:r>
    </w:p>
    <w:p w14:paraId="367C4BB9" w14:textId="77777777" w:rsidR="00D3095F" w:rsidRDefault="00D3095F" w:rsidP="00D3095F">
      <w:pPr>
        <w:ind w:firstLineChars="200" w:firstLine="561"/>
        <w:jc w:val="right"/>
        <w:rPr>
          <w:rFonts w:ascii="华文仿宋" w:eastAsia="华文仿宋" w:hAnsi="华文仿宋"/>
          <w:b/>
          <w:sz w:val="28"/>
          <w:szCs w:val="32"/>
        </w:rPr>
      </w:pPr>
    </w:p>
    <w:p w14:paraId="5971CBAD" w14:textId="77777777" w:rsidR="004A7601" w:rsidRPr="00D3095F" w:rsidRDefault="004A7601" w:rsidP="00D3095F">
      <w:pPr>
        <w:ind w:firstLineChars="200" w:firstLine="561"/>
        <w:jc w:val="right"/>
        <w:rPr>
          <w:rFonts w:ascii="华文仿宋" w:eastAsia="华文仿宋" w:hAnsi="华文仿宋"/>
          <w:b/>
          <w:sz w:val="28"/>
          <w:szCs w:val="32"/>
        </w:rPr>
      </w:pPr>
      <w:r w:rsidRPr="00D3095F">
        <w:rPr>
          <w:rFonts w:ascii="华文仿宋" w:eastAsia="华文仿宋" w:hAnsi="华文仿宋" w:hint="eastAsia"/>
          <w:b/>
          <w:sz w:val="28"/>
          <w:szCs w:val="32"/>
        </w:rPr>
        <w:t>主办：国防科技大学文理学院</w:t>
      </w:r>
    </w:p>
    <w:p w14:paraId="7D9F9305" w14:textId="77777777" w:rsidR="004A7601" w:rsidRPr="00D3095F" w:rsidRDefault="004A7601" w:rsidP="00D3095F">
      <w:pPr>
        <w:ind w:firstLineChars="200" w:firstLine="561"/>
        <w:jc w:val="right"/>
        <w:rPr>
          <w:rFonts w:ascii="华文仿宋" w:eastAsia="华文仿宋" w:hAnsi="华文仿宋"/>
          <w:b/>
          <w:sz w:val="28"/>
          <w:szCs w:val="32"/>
        </w:rPr>
      </w:pPr>
      <w:r w:rsidRPr="00D3095F">
        <w:rPr>
          <w:rFonts w:ascii="华文仿宋" w:eastAsia="华文仿宋" w:hAnsi="华文仿宋" w:hint="eastAsia"/>
          <w:b/>
          <w:sz w:val="28"/>
          <w:szCs w:val="32"/>
        </w:rPr>
        <w:t>协办：《毛泽东邓小平理论研究》编辑部</w:t>
      </w:r>
    </w:p>
    <w:p w14:paraId="6DD82B96" w14:textId="77777777" w:rsidR="004A7601" w:rsidRPr="00D3095F" w:rsidRDefault="004A7601" w:rsidP="00D3095F">
      <w:pPr>
        <w:ind w:firstLineChars="200" w:firstLine="561"/>
        <w:jc w:val="right"/>
        <w:rPr>
          <w:rFonts w:ascii="华文仿宋" w:eastAsia="华文仿宋" w:hAnsi="华文仿宋"/>
          <w:b/>
          <w:sz w:val="28"/>
          <w:szCs w:val="32"/>
        </w:rPr>
      </w:pPr>
      <w:r w:rsidRPr="00D3095F">
        <w:rPr>
          <w:rFonts w:ascii="华文仿宋" w:eastAsia="华文仿宋" w:hAnsi="华文仿宋" w:hint="eastAsia"/>
          <w:b/>
          <w:sz w:val="28"/>
          <w:szCs w:val="32"/>
        </w:rPr>
        <w:t>承办：国防科技大学文理学院马克思主义理论系</w:t>
      </w:r>
    </w:p>
    <w:p w14:paraId="190D149A" w14:textId="77777777" w:rsidR="004A7601" w:rsidRPr="00D3095F" w:rsidRDefault="004A7601" w:rsidP="00D3095F">
      <w:pPr>
        <w:ind w:firstLineChars="200" w:firstLine="561"/>
        <w:jc w:val="right"/>
        <w:rPr>
          <w:rFonts w:ascii="华文仿宋" w:eastAsia="华文仿宋" w:hAnsi="华文仿宋"/>
          <w:b/>
          <w:sz w:val="28"/>
          <w:szCs w:val="32"/>
        </w:rPr>
      </w:pPr>
      <w:r w:rsidRPr="00D3095F">
        <w:rPr>
          <w:rFonts w:ascii="华文仿宋" w:eastAsia="华文仿宋" w:hAnsi="华文仿宋" w:hint="eastAsia"/>
          <w:b/>
          <w:sz w:val="28"/>
          <w:szCs w:val="32"/>
        </w:rPr>
        <w:t>2019年</w:t>
      </w:r>
      <w:r w:rsidRPr="00D3095F">
        <w:rPr>
          <w:rFonts w:ascii="华文仿宋" w:eastAsia="华文仿宋" w:hAnsi="华文仿宋"/>
          <w:b/>
          <w:sz w:val="28"/>
          <w:szCs w:val="32"/>
        </w:rPr>
        <w:t>7</w:t>
      </w:r>
      <w:r w:rsidRPr="00D3095F">
        <w:rPr>
          <w:rFonts w:ascii="华文仿宋" w:eastAsia="华文仿宋" w:hAnsi="华文仿宋" w:hint="eastAsia"/>
          <w:b/>
          <w:sz w:val="28"/>
          <w:szCs w:val="32"/>
        </w:rPr>
        <w:t>月1</w:t>
      </w:r>
      <w:r w:rsidRPr="00D3095F">
        <w:rPr>
          <w:rFonts w:ascii="华文仿宋" w:eastAsia="华文仿宋" w:hAnsi="华文仿宋"/>
          <w:b/>
          <w:sz w:val="28"/>
          <w:szCs w:val="32"/>
        </w:rPr>
        <w:t>2</w:t>
      </w:r>
      <w:r w:rsidRPr="00D3095F">
        <w:rPr>
          <w:rFonts w:ascii="华文仿宋" w:eastAsia="华文仿宋" w:hAnsi="华文仿宋" w:hint="eastAsia"/>
          <w:b/>
          <w:sz w:val="28"/>
          <w:szCs w:val="32"/>
        </w:rPr>
        <w:t>日</w:t>
      </w:r>
    </w:p>
    <w:p w14:paraId="6CA62904" w14:textId="77777777" w:rsidR="007B132C" w:rsidRPr="00C571B2" w:rsidRDefault="007B132C" w:rsidP="007B132C">
      <w:pPr>
        <w:pStyle w:val="a7"/>
        <w:widowControl/>
        <w:shd w:val="clear" w:color="auto" w:fill="FFFFFF"/>
        <w:spacing w:before="0" w:beforeAutospacing="0" w:after="0" w:afterAutospacing="0" w:line="368" w:lineRule="atLeast"/>
        <w:ind w:right="120"/>
        <w:jc w:val="center"/>
        <w:rPr>
          <w:b/>
          <w:bCs/>
          <w:kern w:val="2"/>
          <w:sz w:val="32"/>
          <w:szCs w:val="32"/>
        </w:rPr>
      </w:pPr>
      <w:r w:rsidRPr="00C571B2">
        <w:rPr>
          <w:rFonts w:hint="eastAsia"/>
          <w:b/>
          <w:bCs/>
          <w:kern w:val="2"/>
          <w:sz w:val="32"/>
          <w:szCs w:val="32"/>
        </w:rPr>
        <w:t>会</w:t>
      </w:r>
      <w:r>
        <w:rPr>
          <w:rFonts w:hint="eastAsia"/>
          <w:b/>
          <w:bCs/>
          <w:kern w:val="2"/>
          <w:sz w:val="32"/>
          <w:szCs w:val="32"/>
        </w:rPr>
        <w:t xml:space="preserve"> </w:t>
      </w:r>
      <w:r w:rsidRPr="00C571B2">
        <w:rPr>
          <w:rFonts w:hint="eastAsia"/>
          <w:b/>
          <w:bCs/>
          <w:kern w:val="2"/>
          <w:sz w:val="32"/>
          <w:szCs w:val="32"/>
        </w:rPr>
        <w:t>议</w:t>
      </w:r>
      <w:r>
        <w:rPr>
          <w:rFonts w:hint="eastAsia"/>
          <w:b/>
          <w:bCs/>
          <w:kern w:val="2"/>
          <w:sz w:val="32"/>
          <w:szCs w:val="32"/>
        </w:rPr>
        <w:t xml:space="preserve"> </w:t>
      </w:r>
      <w:r w:rsidRPr="00C571B2">
        <w:rPr>
          <w:rFonts w:hint="eastAsia"/>
          <w:b/>
          <w:bCs/>
          <w:kern w:val="2"/>
          <w:sz w:val="32"/>
          <w:szCs w:val="32"/>
        </w:rPr>
        <w:t>回</w:t>
      </w:r>
      <w:r>
        <w:rPr>
          <w:rFonts w:hint="eastAsia"/>
          <w:b/>
          <w:bCs/>
          <w:kern w:val="2"/>
          <w:sz w:val="32"/>
          <w:szCs w:val="32"/>
        </w:rPr>
        <w:t xml:space="preserve"> </w:t>
      </w:r>
      <w:r w:rsidRPr="00C571B2">
        <w:rPr>
          <w:rFonts w:hint="eastAsia"/>
          <w:b/>
          <w:bCs/>
          <w:kern w:val="2"/>
          <w:sz w:val="32"/>
          <w:szCs w:val="32"/>
        </w:rPr>
        <w:t>执</w:t>
      </w:r>
    </w:p>
    <w:p w14:paraId="3D805FB6" w14:textId="49600F81" w:rsidR="007B132C" w:rsidRDefault="007B132C" w:rsidP="007B132C">
      <w:pPr>
        <w:spacing w:line="360" w:lineRule="auto"/>
        <w:rPr>
          <w:rFonts w:ascii="宋体" w:hAnsi="宋体" w:hint="eastAsia"/>
          <w:color w:val="000000"/>
          <w:sz w:val="24"/>
        </w:rPr>
      </w:pPr>
      <w:r>
        <w:rPr>
          <w:rFonts w:ascii="宋体" w:hAnsi="宋体" w:hint="eastAsia"/>
          <w:color w:val="000000"/>
          <w:sz w:val="24"/>
        </w:rPr>
        <w:t xml:space="preserve">    为便于安排会务，请参会人员</w:t>
      </w:r>
      <w:bookmarkStart w:id="0" w:name="_GoBack"/>
      <w:bookmarkEnd w:id="0"/>
      <w:r>
        <w:rPr>
          <w:rFonts w:ascii="宋体" w:hAnsi="宋体" w:hint="eastAsia"/>
          <w:color w:val="000000"/>
          <w:sz w:val="24"/>
        </w:rPr>
        <w:t>于2019年8月2</w:t>
      </w:r>
      <w:r>
        <w:rPr>
          <w:rFonts w:ascii="宋体" w:hAnsi="宋体"/>
          <w:color w:val="000000"/>
          <w:sz w:val="24"/>
        </w:rPr>
        <w:t>3</w:t>
      </w:r>
      <w:r>
        <w:rPr>
          <w:rFonts w:ascii="宋体" w:hAnsi="宋体" w:hint="eastAsia"/>
          <w:color w:val="000000"/>
          <w:sz w:val="24"/>
        </w:rPr>
        <w:t>日前将回执发到联系邮箱，会务组将在8月2</w:t>
      </w:r>
      <w:r>
        <w:rPr>
          <w:rFonts w:ascii="宋体" w:hAnsi="宋体"/>
          <w:color w:val="000000"/>
          <w:sz w:val="24"/>
        </w:rPr>
        <w:t>5</w:t>
      </w:r>
      <w:r>
        <w:rPr>
          <w:rFonts w:ascii="宋体" w:hAnsi="宋体" w:hint="eastAsia"/>
          <w:color w:val="000000"/>
          <w:sz w:val="24"/>
        </w:rPr>
        <w:t>日前与您确认，通知会议议程、会议地点、酒店住宿等具体安排。</w:t>
      </w:r>
    </w:p>
    <w:tbl>
      <w:tblPr>
        <w:tblW w:w="0" w:type="auto"/>
        <w:tblLayout w:type="fixed"/>
        <w:tblCellMar>
          <w:left w:w="0" w:type="dxa"/>
          <w:right w:w="0" w:type="dxa"/>
        </w:tblCellMar>
        <w:tblLook w:val="0000" w:firstRow="0" w:lastRow="0" w:firstColumn="0" w:lastColumn="0" w:noHBand="0" w:noVBand="0"/>
      </w:tblPr>
      <w:tblGrid>
        <w:gridCol w:w="1707"/>
        <w:gridCol w:w="2987"/>
        <w:gridCol w:w="1933"/>
        <w:gridCol w:w="2655"/>
      </w:tblGrid>
      <w:tr w:rsidR="007B132C" w14:paraId="2A842121" w14:textId="77777777" w:rsidTr="001757B8">
        <w:tc>
          <w:tcPr>
            <w:tcW w:w="1707" w:type="dxa"/>
            <w:tcBorders>
              <w:top w:val="single" w:sz="8" w:space="0" w:color="000000"/>
              <w:left w:val="single" w:sz="8" w:space="0" w:color="000000"/>
              <w:bottom w:val="single" w:sz="8" w:space="0" w:color="000000"/>
              <w:right w:val="single" w:sz="8" w:space="0" w:color="000000"/>
            </w:tcBorders>
            <w:tcMar>
              <w:left w:w="105" w:type="dxa"/>
              <w:right w:w="105" w:type="dxa"/>
            </w:tcMar>
          </w:tcPr>
          <w:p w14:paraId="00E49A45" w14:textId="77777777" w:rsidR="007B132C" w:rsidRDefault="007B132C" w:rsidP="001757B8">
            <w:pPr>
              <w:pStyle w:val="a7"/>
              <w:widowControl/>
              <w:wordWrap w:val="0"/>
              <w:spacing w:before="0" w:beforeAutospacing="0" w:after="0" w:afterAutospacing="0"/>
              <w:ind w:right="210"/>
              <w:jc w:val="center"/>
              <w:rPr>
                <w:sz w:val="28"/>
                <w:szCs w:val="28"/>
              </w:rPr>
            </w:pPr>
            <w:r>
              <w:rPr>
                <w:sz w:val="28"/>
                <w:szCs w:val="28"/>
              </w:rPr>
              <w:t>姓</w:t>
            </w:r>
            <w:r>
              <w:rPr>
                <w:sz w:val="28"/>
                <w:szCs w:val="28"/>
              </w:rPr>
              <w:t xml:space="preserve">  </w:t>
            </w:r>
            <w:r>
              <w:rPr>
                <w:sz w:val="28"/>
                <w:szCs w:val="28"/>
              </w:rPr>
              <w:t>名</w:t>
            </w:r>
          </w:p>
        </w:tc>
        <w:tc>
          <w:tcPr>
            <w:tcW w:w="2987" w:type="dxa"/>
            <w:tcBorders>
              <w:top w:val="single" w:sz="8" w:space="0" w:color="000000"/>
              <w:left w:val="nil"/>
              <w:bottom w:val="single" w:sz="8" w:space="0" w:color="000000"/>
              <w:right w:val="single" w:sz="8" w:space="0" w:color="000000"/>
            </w:tcBorders>
            <w:tcMar>
              <w:left w:w="105" w:type="dxa"/>
              <w:right w:w="105" w:type="dxa"/>
            </w:tcMar>
          </w:tcPr>
          <w:p w14:paraId="5CFEF1AD" w14:textId="77777777" w:rsidR="007B132C" w:rsidRDefault="007B132C" w:rsidP="001757B8">
            <w:pPr>
              <w:widowControl/>
              <w:wordWrap w:val="0"/>
              <w:jc w:val="left"/>
              <w:rPr>
                <w:sz w:val="28"/>
                <w:szCs w:val="28"/>
              </w:rPr>
            </w:pPr>
          </w:p>
        </w:tc>
        <w:tc>
          <w:tcPr>
            <w:tcW w:w="1933" w:type="dxa"/>
            <w:tcBorders>
              <w:top w:val="single" w:sz="8" w:space="0" w:color="000000"/>
              <w:left w:val="nil"/>
              <w:bottom w:val="single" w:sz="8" w:space="0" w:color="000000"/>
              <w:right w:val="single" w:sz="8" w:space="0" w:color="000000"/>
            </w:tcBorders>
            <w:tcMar>
              <w:left w:w="105" w:type="dxa"/>
              <w:right w:w="105" w:type="dxa"/>
            </w:tcMar>
          </w:tcPr>
          <w:p w14:paraId="3B8A64EC" w14:textId="77777777" w:rsidR="007B132C" w:rsidRDefault="007B132C" w:rsidP="001757B8">
            <w:pPr>
              <w:pStyle w:val="a7"/>
              <w:widowControl/>
              <w:wordWrap w:val="0"/>
              <w:spacing w:before="0" w:beforeAutospacing="0" w:after="0" w:afterAutospacing="0"/>
              <w:ind w:right="210"/>
              <w:jc w:val="center"/>
              <w:rPr>
                <w:sz w:val="28"/>
                <w:szCs w:val="28"/>
              </w:rPr>
            </w:pPr>
            <w:r>
              <w:rPr>
                <w:sz w:val="28"/>
                <w:szCs w:val="28"/>
              </w:rPr>
              <w:t>性</w:t>
            </w:r>
            <w:r>
              <w:rPr>
                <w:sz w:val="28"/>
                <w:szCs w:val="28"/>
              </w:rPr>
              <w:t xml:space="preserve">  </w:t>
            </w:r>
            <w:r>
              <w:rPr>
                <w:sz w:val="28"/>
                <w:szCs w:val="28"/>
              </w:rPr>
              <w:t>别</w:t>
            </w:r>
          </w:p>
        </w:tc>
        <w:tc>
          <w:tcPr>
            <w:tcW w:w="2655" w:type="dxa"/>
            <w:tcBorders>
              <w:top w:val="single" w:sz="8" w:space="0" w:color="000000"/>
              <w:left w:val="nil"/>
              <w:bottom w:val="single" w:sz="8" w:space="0" w:color="000000"/>
              <w:right w:val="single" w:sz="8" w:space="0" w:color="000000"/>
            </w:tcBorders>
            <w:tcMar>
              <w:left w:w="105" w:type="dxa"/>
              <w:right w:w="105" w:type="dxa"/>
            </w:tcMar>
          </w:tcPr>
          <w:p w14:paraId="474E8654" w14:textId="77777777" w:rsidR="007B132C" w:rsidRDefault="007B132C" w:rsidP="001757B8">
            <w:pPr>
              <w:widowControl/>
              <w:wordWrap w:val="0"/>
              <w:jc w:val="left"/>
              <w:rPr>
                <w:sz w:val="28"/>
                <w:szCs w:val="28"/>
              </w:rPr>
            </w:pPr>
          </w:p>
        </w:tc>
      </w:tr>
      <w:tr w:rsidR="007B132C" w14:paraId="258182E2" w14:textId="77777777" w:rsidTr="001757B8">
        <w:trPr>
          <w:trHeight w:val="420"/>
        </w:trPr>
        <w:tc>
          <w:tcPr>
            <w:tcW w:w="1707" w:type="dxa"/>
            <w:tcBorders>
              <w:top w:val="nil"/>
              <w:left w:val="single" w:sz="8" w:space="0" w:color="000000"/>
              <w:bottom w:val="single" w:sz="8" w:space="0" w:color="000000"/>
              <w:right w:val="single" w:sz="8" w:space="0" w:color="000000"/>
            </w:tcBorders>
            <w:tcMar>
              <w:left w:w="105" w:type="dxa"/>
              <w:right w:w="105" w:type="dxa"/>
            </w:tcMar>
          </w:tcPr>
          <w:p w14:paraId="29F7B5F2" w14:textId="77777777" w:rsidR="007B132C" w:rsidRDefault="007B132C" w:rsidP="001757B8">
            <w:pPr>
              <w:pStyle w:val="a7"/>
              <w:widowControl/>
              <w:wordWrap w:val="0"/>
              <w:spacing w:before="0" w:beforeAutospacing="0" w:after="0" w:afterAutospacing="0"/>
              <w:ind w:right="210"/>
              <w:jc w:val="center"/>
              <w:rPr>
                <w:sz w:val="28"/>
                <w:szCs w:val="28"/>
              </w:rPr>
            </w:pPr>
            <w:r>
              <w:rPr>
                <w:sz w:val="28"/>
                <w:szCs w:val="28"/>
              </w:rPr>
              <w:t>单</w:t>
            </w:r>
            <w:r>
              <w:rPr>
                <w:rFonts w:hint="eastAsia"/>
                <w:sz w:val="28"/>
                <w:szCs w:val="28"/>
              </w:rPr>
              <w:t xml:space="preserve">  </w:t>
            </w:r>
            <w:r>
              <w:rPr>
                <w:sz w:val="28"/>
                <w:szCs w:val="28"/>
              </w:rPr>
              <w:t>位</w:t>
            </w:r>
          </w:p>
        </w:tc>
        <w:tc>
          <w:tcPr>
            <w:tcW w:w="7575" w:type="dxa"/>
            <w:gridSpan w:val="3"/>
            <w:tcBorders>
              <w:top w:val="nil"/>
              <w:left w:val="nil"/>
              <w:bottom w:val="single" w:sz="8" w:space="0" w:color="000000"/>
              <w:right w:val="single" w:sz="8" w:space="0" w:color="000000"/>
            </w:tcBorders>
            <w:tcMar>
              <w:left w:w="105" w:type="dxa"/>
              <w:right w:w="105" w:type="dxa"/>
            </w:tcMar>
          </w:tcPr>
          <w:p w14:paraId="1F0BDF48" w14:textId="77777777" w:rsidR="007B132C" w:rsidRDefault="007B132C" w:rsidP="001757B8">
            <w:pPr>
              <w:widowControl/>
              <w:wordWrap w:val="0"/>
              <w:jc w:val="left"/>
              <w:rPr>
                <w:sz w:val="28"/>
                <w:szCs w:val="28"/>
              </w:rPr>
            </w:pPr>
          </w:p>
        </w:tc>
      </w:tr>
      <w:tr w:rsidR="007B132C" w14:paraId="2B1823F0" w14:textId="77777777" w:rsidTr="001757B8">
        <w:trPr>
          <w:trHeight w:val="360"/>
        </w:trPr>
        <w:tc>
          <w:tcPr>
            <w:tcW w:w="1707" w:type="dxa"/>
            <w:tcBorders>
              <w:top w:val="nil"/>
              <w:left w:val="single" w:sz="8" w:space="0" w:color="000000"/>
              <w:bottom w:val="single" w:sz="8" w:space="0" w:color="000000"/>
              <w:right w:val="single" w:sz="8" w:space="0" w:color="000000"/>
            </w:tcBorders>
            <w:tcMar>
              <w:left w:w="105" w:type="dxa"/>
              <w:right w:w="105" w:type="dxa"/>
            </w:tcMar>
          </w:tcPr>
          <w:p w14:paraId="7486D4A4" w14:textId="77777777" w:rsidR="007B132C" w:rsidRDefault="007B132C" w:rsidP="001757B8">
            <w:pPr>
              <w:pStyle w:val="a7"/>
              <w:widowControl/>
              <w:wordWrap w:val="0"/>
              <w:spacing w:before="0" w:beforeAutospacing="0" w:after="0" w:afterAutospacing="0"/>
              <w:ind w:right="210"/>
              <w:jc w:val="center"/>
              <w:rPr>
                <w:sz w:val="28"/>
                <w:szCs w:val="28"/>
              </w:rPr>
            </w:pPr>
            <w:r>
              <w:rPr>
                <w:sz w:val="28"/>
                <w:szCs w:val="28"/>
              </w:rPr>
              <w:t>职务</w:t>
            </w:r>
            <w:r>
              <w:rPr>
                <w:rFonts w:hint="eastAsia"/>
                <w:sz w:val="28"/>
                <w:szCs w:val="28"/>
              </w:rPr>
              <w:t>/</w:t>
            </w:r>
            <w:r>
              <w:rPr>
                <w:rFonts w:hint="eastAsia"/>
                <w:sz w:val="28"/>
                <w:szCs w:val="28"/>
              </w:rPr>
              <w:t>职称</w:t>
            </w:r>
          </w:p>
        </w:tc>
        <w:tc>
          <w:tcPr>
            <w:tcW w:w="2987" w:type="dxa"/>
            <w:tcBorders>
              <w:top w:val="nil"/>
              <w:left w:val="nil"/>
              <w:bottom w:val="single" w:sz="8" w:space="0" w:color="000000"/>
              <w:right w:val="single" w:sz="8" w:space="0" w:color="000000"/>
            </w:tcBorders>
            <w:tcMar>
              <w:left w:w="105" w:type="dxa"/>
              <w:right w:w="105" w:type="dxa"/>
            </w:tcMar>
          </w:tcPr>
          <w:p w14:paraId="73988EC9" w14:textId="77777777" w:rsidR="007B132C" w:rsidRDefault="007B132C" w:rsidP="001757B8">
            <w:pPr>
              <w:widowControl/>
              <w:wordWrap w:val="0"/>
              <w:jc w:val="left"/>
              <w:rPr>
                <w:sz w:val="28"/>
                <w:szCs w:val="28"/>
              </w:rPr>
            </w:pPr>
          </w:p>
        </w:tc>
        <w:tc>
          <w:tcPr>
            <w:tcW w:w="1933" w:type="dxa"/>
            <w:tcBorders>
              <w:top w:val="nil"/>
              <w:left w:val="nil"/>
              <w:bottom w:val="single" w:sz="8" w:space="0" w:color="000000"/>
              <w:right w:val="single" w:sz="8" w:space="0" w:color="000000"/>
            </w:tcBorders>
            <w:tcMar>
              <w:left w:w="105" w:type="dxa"/>
              <w:right w:w="105" w:type="dxa"/>
            </w:tcMar>
          </w:tcPr>
          <w:p w14:paraId="3EAAB4EC" w14:textId="77777777" w:rsidR="007B132C" w:rsidRDefault="007B132C" w:rsidP="001757B8">
            <w:pPr>
              <w:pStyle w:val="a7"/>
              <w:widowControl/>
              <w:wordWrap w:val="0"/>
              <w:spacing w:before="0" w:beforeAutospacing="0" w:after="0" w:afterAutospacing="0"/>
              <w:ind w:right="210"/>
              <w:rPr>
                <w:sz w:val="28"/>
                <w:szCs w:val="28"/>
              </w:rPr>
            </w:pPr>
            <w:r>
              <w:rPr>
                <w:rFonts w:hint="eastAsia"/>
                <w:sz w:val="28"/>
                <w:szCs w:val="28"/>
              </w:rPr>
              <w:t>军衔</w:t>
            </w:r>
            <w:r>
              <w:rPr>
                <w:rFonts w:hint="eastAsia"/>
                <w:sz w:val="28"/>
                <w:szCs w:val="28"/>
              </w:rPr>
              <w:t>/</w:t>
            </w:r>
            <w:proofErr w:type="gramStart"/>
            <w:r>
              <w:rPr>
                <w:rFonts w:hint="eastAsia"/>
                <w:sz w:val="28"/>
                <w:szCs w:val="28"/>
              </w:rPr>
              <w:t>文职级</w:t>
            </w:r>
            <w:proofErr w:type="gramEnd"/>
          </w:p>
        </w:tc>
        <w:tc>
          <w:tcPr>
            <w:tcW w:w="2655" w:type="dxa"/>
            <w:tcBorders>
              <w:top w:val="nil"/>
              <w:left w:val="nil"/>
              <w:bottom w:val="single" w:sz="8" w:space="0" w:color="000000"/>
              <w:right w:val="single" w:sz="8" w:space="0" w:color="000000"/>
            </w:tcBorders>
            <w:tcMar>
              <w:left w:w="105" w:type="dxa"/>
              <w:right w:w="105" w:type="dxa"/>
            </w:tcMar>
          </w:tcPr>
          <w:p w14:paraId="35EB9DF9" w14:textId="77777777" w:rsidR="007B132C" w:rsidRDefault="007B132C" w:rsidP="001757B8">
            <w:pPr>
              <w:widowControl/>
              <w:wordWrap w:val="0"/>
              <w:jc w:val="left"/>
              <w:rPr>
                <w:sz w:val="28"/>
                <w:szCs w:val="28"/>
              </w:rPr>
            </w:pPr>
          </w:p>
        </w:tc>
      </w:tr>
      <w:tr w:rsidR="007B132C" w14:paraId="38368E6A" w14:textId="77777777" w:rsidTr="001757B8">
        <w:tc>
          <w:tcPr>
            <w:tcW w:w="1707" w:type="dxa"/>
            <w:tcBorders>
              <w:top w:val="nil"/>
              <w:left w:val="single" w:sz="8" w:space="0" w:color="000000"/>
              <w:bottom w:val="single" w:sz="8" w:space="0" w:color="000000"/>
              <w:right w:val="single" w:sz="8" w:space="0" w:color="000000"/>
            </w:tcBorders>
            <w:tcMar>
              <w:left w:w="105" w:type="dxa"/>
              <w:right w:w="105" w:type="dxa"/>
            </w:tcMar>
          </w:tcPr>
          <w:p w14:paraId="582776CB" w14:textId="77777777" w:rsidR="007B132C" w:rsidRDefault="007B132C" w:rsidP="001757B8">
            <w:pPr>
              <w:pStyle w:val="a7"/>
              <w:widowControl/>
              <w:wordWrap w:val="0"/>
              <w:spacing w:before="0" w:beforeAutospacing="0" w:after="0" w:afterAutospacing="0"/>
              <w:ind w:right="210"/>
              <w:jc w:val="center"/>
              <w:rPr>
                <w:sz w:val="28"/>
                <w:szCs w:val="28"/>
              </w:rPr>
            </w:pPr>
            <w:r>
              <w:rPr>
                <w:sz w:val="28"/>
                <w:szCs w:val="28"/>
              </w:rPr>
              <w:t>联系电话</w:t>
            </w:r>
          </w:p>
        </w:tc>
        <w:tc>
          <w:tcPr>
            <w:tcW w:w="2987" w:type="dxa"/>
            <w:tcBorders>
              <w:top w:val="nil"/>
              <w:left w:val="nil"/>
              <w:bottom w:val="single" w:sz="8" w:space="0" w:color="000000"/>
              <w:right w:val="single" w:sz="8" w:space="0" w:color="000000"/>
            </w:tcBorders>
            <w:tcMar>
              <w:left w:w="105" w:type="dxa"/>
              <w:right w:w="105" w:type="dxa"/>
            </w:tcMar>
          </w:tcPr>
          <w:p w14:paraId="7D0523F5" w14:textId="77777777" w:rsidR="007B132C" w:rsidRDefault="007B132C" w:rsidP="001757B8">
            <w:pPr>
              <w:widowControl/>
              <w:wordWrap w:val="0"/>
              <w:jc w:val="left"/>
              <w:rPr>
                <w:sz w:val="28"/>
                <w:szCs w:val="28"/>
              </w:rPr>
            </w:pPr>
          </w:p>
        </w:tc>
        <w:tc>
          <w:tcPr>
            <w:tcW w:w="1933" w:type="dxa"/>
            <w:tcBorders>
              <w:top w:val="nil"/>
              <w:left w:val="nil"/>
              <w:bottom w:val="single" w:sz="8" w:space="0" w:color="000000"/>
              <w:right w:val="single" w:sz="8" w:space="0" w:color="000000"/>
            </w:tcBorders>
            <w:tcMar>
              <w:left w:w="105" w:type="dxa"/>
              <w:right w:w="105" w:type="dxa"/>
            </w:tcMar>
          </w:tcPr>
          <w:p w14:paraId="49416284" w14:textId="77777777" w:rsidR="007B132C" w:rsidRDefault="007B132C" w:rsidP="001757B8">
            <w:pPr>
              <w:pStyle w:val="a7"/>
              <w:widowControl/>
              <w:wordWrap w:val="0"/>
              <w:spacing w:before="0" w:beforeAutospacing="0" w:after="0" w:afterAutospacing="0"/>
              <w:ind w:left="210" w:right="210"/>
              <w:rPr>
                <w:sz w:val="28"/>
                <w:szCs w:val="28"/>
              </w:rPr>
            </w:pPr>
            <w:r>
              <w:rPr>
                <w:sz w:val="28"/>
                <w:szCs w:val="28"/>
              </w:rPr>
              <w:t>电子信箱</w:t>
            </w:r>
          </w:p>
        </w:tc>
        <w:tc>
          <w:tcPr>
            <w:tcW w:w="2655" w:type="dxa"/>
            <w:tcBorders>
              <w:top w:val="nil"/>
              <w:left w:val="nil"/>
              <w:bottom w:val="single" w:sz="8" w:space="0" w:color="000000"/>
              <w:right w:val="single" w:sz="8" w:space="0" w:color="000000"/>
            </w:tcBorders>
            <w:tcMar>
              <w:left w:w="105" w:type="dxa"/>
              <w:right w:w="105" w:type="dxa"/>
            </w:tcMar>
          </w:tcPr>
          <w:p w14:paraId="6C6D4D2C" w14:textId="77777777" w:rsidR="007B132C" w:rsidRDefault="007B132C" w:rsidP="001757B8">
            <w:pPr>
              <w:widowControl/>
              <w:wordWrap w:val="0"/>
              <w:jc w:val="left"/>
              <w:rPr>
                <w:sz w:val="28"/>
                <w:szCs w:val="28"/>
              </w:rPr>
            </w:pPr>
          </w:p>
        </w:tc>
      </w:tr>
      <w:tr w:rsidR="007B132C" w14:paraId="5DC0CDD1" w14:textId="77777777" w:rsidTr="001757B8">
        <w:tc>
          <w:tcPr>
            <w:tcW w:w="1707" w:type="dxa"/>
            <w:tcBorders>
              <w:top w:val="nil"/>
              <w:left w:val="single" w:sz="8" w:space="0" w:color="000000"/>
              <w:bottom w:val="single" w:sz="8" w:space="0" w:color="000000"/>
              <w:right w:val="single" w:sz="8" w:space="0" w:color="000000"/>
            </w:tcBorders>
            <w:tcMar>
              <w:left w:w="105" w:type="dxa"/>
              <w:right w:w="105" w:type="dxa"/>
            </w:tcMar>
          </w:tcPr>
          <w:p w14:paraId="2002550C" w14:textId="77777777" w:rsidR="007B132C" w:rsidRDefault="007B132C" w:rsidP="001757B8">
            <w:pPr>
              <w:pStyle w:val="a7"/>
              <w:widowControl/>
              <w:wordWrap w:val="0"/>
              <w:spacing w:before="0" w:beforeAutospacing="0" w:after="0" w:afterAutospacing="0"/>
              <w:ind w:right="210"/>
              <w:jc w:val="center"/>
              <w:rPr>
                <w:sz w:val="28"/>
                <w:szCs w:val="28"/>
              </w:rPr>
            </w:pPr>
            <w:r>
              <w:rPr>
                <w:sz w:val="28"/>
                <w:szCs w:val="28"/>
              </w:rPr>
              <w:t>住宿要求</w:t>
            </w:r>
          </w:p>
        </w:tc>
        <w:tc>
          <w:tcPr>
            <w:tcW w:w="7575" w:type="dxa"/>
            <w:gridSpan w:val="3"/>
            <w:tcBorders>
              <w:top w:val="nil"/>
              <w:left w:val="nil"/>
              <w:bottom w:val="single" w:sz="8" w:space="0" w:color="000000"/>
              <w:right w:val="single" w:sz="8" w:space="0" w:color="000000"/>
            </w:tcBorders>
            <w:tcMar>
              <w:left w:w="105" w:type="dxa"/>
              <w:right w:w="105" w:type="dxa"/>
            </w:tcMar>
          </w:tcPr>
          <w:p w14:paraId="14856D5A" w14:textId="77777777" w:rsidR="007B132C" w:rsidRDefault="007B132C" w:rsidP="001757B8">
            <w:pPr>
              <w:widowControl/>
              <w:wordWrap w:val="0"/>
              <w:jc w:val="center"/>
              <w:rPr>
                <w:sz w:val="28"/>
                <w:szCs w:val="28"/>
              </w:rPr>
            </w:pPr>
            <w:r>
              <w:rPr>
                <w:sz w:val="28"/>
                <w:szCs w:val="28"/>
              </w:rPr>
              <w:t>□</w:t>
            </w:r>
            <w:r>
              <w:rPr>
                <w:sz w:val="28"/>
                <w:szCs w:val="28"/>
              </w:rPr>
              <w:t>单人间</w:t>
            </w:r>
            <w:r>
              <w:rPr>
                <w:rFonts w:hint="eastAsia"/>
                <w:sz w:val="28"/>
                <w:szCs w:val="28"/>
              </w:rPr>
              <w:t xml:space="preserve">                </w:t>
            </w:r>
            <w:r>
              <w:rPr>
                <w:sz w:val="28"/>
                <w:szCs w:val="28"/>
              </w:rPr>
              <w:t>□</w:t>
            </w:r>
            <w:r>
              <w:rPr>
                <w:sz w:val="28"/>
                <w:szCs w:val="28"/>
              </w:rPr>
              <w:t>双人间</w:t>
            </w:r>
          </w:p>
        </w:tc>
      </w:tr>
      <w:tr w:rsidR="007B132C" w14:paraId="73DAF607" w14:textId="77777777" w:rsidTr="001757B8">
        <w:trPr>
          <w:trHeight w:val="121"/>
        </w:trPr>
        <w:tc>
          <w:tcPr>
            <w:tcW w:w="1707" w:type="dxa"/>
            <w:tcBorders>
              <w:top w:val="nil"/>
              <w:left w:val="single" w:sz="8" w:space="0" w:color="000000"/>
              <w:bottom w:val="single" w:sz="8" w:space="0" w:color="000000"/>
              <w:right w:val="single" w:sz="8" w:space="0" w:color="000000"/>
            </w:tcBorders>
            <w:tcMar>
              <w:left w:w="105" w:type="dxa"/>
              <w:right w:w="105" w:type="dxa"/>
            </w:tcMar>
          </w:tcPr>
          <w:p w14:paraId="48A4A6A3" w14:textId="77777777" w:rsidR="007B132C" w:rsidRDefault="007B132C" w:rsidP="001757B8">
            <w:pPr>
              <w:pStyle w:val="a7"/>
              <w:widowControl/>
              <w:wordWrap w:val="0"/>
              <w:spacing w:before="0" w:beforeAutospacing="0" w:after="0" w:afterAutospacing="0"/>
              <w:ind w:right="210"/>
              <w:jc w:val="center"/>
              <w:rPr>
                <w:rFonts w:hint="eastAsia"/>
                <w:sz w:val="28"/>
                <w:szCs w:val="28"/>
              </w:rPr>
            </w:pPr>
            <w:r>
              <w:rPr>
                <w:rFonts w:hint="eastAsia"/>
                <w:sz w:val="28"/>
                <w:szCs w:val="28"/>
              </w:rPr>
              <w:t>备注</w:t>
            </w:r>
          </w:p>
        </w:tc>
        <w:tc>
          <w:tcPr>
            <w:tcW w:w="7575" w:type="dxa"/>
            <w:gridSpan w:val="3"/>
            <w:tcBorders>
              <w:top w:val="nil"/>
              <w:left w:val="nil"/>
              <w:bottom w:val="single" w:sz="8" w:space="0" w:color="000000"/>
              <w:right w:val="single" w:sz="8" w:space="0" w:color="000000"/>
            </w:tcBorders>
            <w:tcMar>
              <w:left w:w="105" w:type="dxa"/>
              <w:right w:w="105" w:type="dxa"/>
            </w:tcMar>
            <w:vAlign w:val="center"/>
          </w:tcPr>
          <w:p w14:paraId="6F99A1A4" w14:textId="77777777" w:rsidR="007B132C" w:rsidRDefault="007B132C" w:rsidP="001757B8">
            <w:pPr>
              <w:pStyle w:val="a7"/>
              <w:widowControl/>
              <w:wordWrap w:val="0"/>
              <w:spacing w:before="0" w:beforeAutospacing="0" w:after="0" w:afterAutospacing="0"/>
              <w:ind w:right="210"/>
              <w:jc w:val="center"/>
              <w:rPr>
                <w:rFonts w:hint="eastAsia"/>
                <w:sz w:val="28"/>
                <w:szCs w:val="28"/>
              </w:rPr>
            </w:pPr>
          </w:p>
        </w:tc>
      </w:tr>
    </w:tbl>
    <w:p w14:paraId="30B3613D" w14:textId="77777777" w:rsidR="007B132C" w:rsidRPr="004A7601" w:rsidRDefault="007B132C" w:rsidP="004A7601">
      <w:pPr>
        <w:ind w:firstLineChars="200" w:firstLine="560"/>
        <w:rPr>
          <w:rFonts w:ascii="华文仿宋" w:eastAsia="华文仿宋" w:hAnsi="华文仿宋" w:hint="eastAsia"/>
          <w:sz w:val="28"/>
          <w:szCs w:val="32"/>
        </w:rPr>
      </w:pPr>
    </w:p>
    <w:sectPr w:rsidR="007B132C" w:rsidRPr="004A7601" w:rsidSect="007152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E765" w14:textId="77777777" w:rsidR="00D76307" w:rsidRDefault="00D76307" w:rsidP="00F018B8">
      <w:r>
        <w:separator/>
      </w:r>
    </w:p>
  </w:endnote>
  <w:endnote w:type="continuationSeparator" w:id="0">
    <w:p w14:paraId="55BF32F0" w14:textId="77777777" w:rsidR="00D76307" w:rsidRDefault="00D76307" w:rsidP="00F0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0828A" w14:textId="77777777" w:rsidR="00D76307" w:rsidRDefault="00D76307" w:rsidP="00F018B8">
      <w:r>
        <w:separator/>
      </w:r>
    </w:p>
  </w:footnote>
  <w:footnote w:type="continuationSeparator" w:id="0">
    <w:p w14:paraId="665718CA" w14:textId="77777777" w:rsidR="00D76307" w:rsidRDefault="00D76307" w:rsidP="00F0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017C"/>
    <w:rsid w:val="00167742"/>
    <w:rsid w:val="0020017C"/>
    <w:rsid w:val="00463B07"/>
    <w:rsid w:val="004A7601"/>
    <w:rsid w:val="006175E3"/>
    <w:rsid w:val="0071527E"/>
    <w:rsid w:val="00727030"/>
    <w:rsid w:val="00791DFB"/>
    <w:rsid w:val="007B132C"/>
    <w:rsid w:val="00A17CC8"/>
    <w:rsid w:val="00AA0225"/>
    <w:rsid w:val="00AA14B2"/>
    <w:rsid w:val="00AA2DFA"/>
    <w:rsid w:val="00AC119A"/>
    <w:rsid w:val="00B21258"/>
    <w:rsid w:val="00C90658"/>
    <w:rsid w:val="00D127AC"/>
    <w:rsid w:val="00D3095F"/>
    <w:rsid w:val="00D76307"/>
    <w:rsid w:val="00F018B8"/>
    <w:rsid w:val="00FB17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E507"/>
  <w15:docId w15:val="{0670C46D-AA3E-45FE-88F0-A3009B3C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2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18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018B8"/>
    <w:rPr>
      <w:sz w:val="18"/>
      <w:szCs w:val="18"/>
    </w:rPr>
  </w:style>
  <w:style w:type="paragraph" w:styleId="a5">
    <w:name w:val="footer"/>
    <w:basedOn w:val="a"/>
    <w:link w:val="a6"/>
    <w:uiPriority w:val="99"/>
    <w:semiHidden/>
    <w:unhideWhenUsed/>
    <w:rsid w:val="00F018B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018B8"/>
    <w:rPr>
      <w:sz w:val="18"/>
      <w:szCs w:val="18"/>
    </w:rPr>
  </w:style>
  <w:style w:type="paragraph" w:styleId="a7">
    <w:name w:val="Normal (Web)"/>
    <w:basedOn w:val="a"/>
    <w:rsid w:val="007B132C"/>
    <w:pPr>
      <w:spacing w:before="100" w:beforeAutospacing="1" w:after="100"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李铮</cp:lastModifiedBy>
  <cp:revision>10</cp:revision>
  <dcterms:created xsi:type="dcterms:W3CDTF">2019-07-12T04:23:00Z</dcterms:created>
  <dcterms:modified xsi:type="dcterms:W3CDTF">2019-08-21T13:47:00Z</dcterms:modified>
</cp:coreProperties>
</file>